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51F7" w14:textId="5FD19DBF" w:rsidR="003E183D" w:rsidRPr="007A1D9C" w:rsidRDefault="00280BF4" w:rsidP="00280BF4">
      <w:pPr>
        <w:pStyle w:val="Heading1"/>
        <w:jc w:val="center"/>
        <w:rPr>
          <w:b/>
          <w:bCs/>
          <w:color w:val="auto"/>
          <w:sz w:val="28"/>
          <w:szCs w:val="28"/>
          <w:highlight w:val="yellow"/>
        </w:rPr>
      </w:pPr>
      <w:r w:rsidRPr="007A1D9C">
        <w:rPr>
          <w:b/>
          <w:bCs/>
          <w:color w:val="auto"/>
          <w:sz w:val="28"/>
          <w:szCs w:val="28"/>
          <w:highlight w:val="yellow"/>
        </w:rPr>
        <w:t>Public Information</w:t>
      </w:r>
      <w:r w:rsidRPr="007A1D9C">
        <w:rPr>
          <w:b/>
          <w:bCs/>
          <w:color w:val="auto"/>
          <w:sz w:val="28"/>
          <w:szCs w:val="28"/>
          <w:highlight w:val="yellow"/>
        </w:rPr>
        <w:br/>
      </w:r>
    </w:p>
    <w:p w14:paraId="3655E331" w14:textId="794465FB" w:rsidR="00280BF4" w:rsidRPr="00C85C75" w:rsidRDefault="00280BF4" w:rsidP="00E24776">
      <w:pPr>
        <w:pStyle w:val="Heading2"/>
        <w:jc w:val="center"/>
        <w:rPr>
          <w:color w:val="auto"/>
          <w:sz w:val="24"/>
          <w:szCs w:val="24"/>
        </w:rPr>
      </w:pPr>
      <w:r w:rsidRPr="007A1D9C">
        <w:rPr>
          <w:color w:val="auto"/>
          <w:sz w:val="24"/>
          <w:szCs w:val="24"/>
          <w:highlight w:val="yellow"/>
        </w:rPr>
        <w:t>The Planning Accreditation Board requires this information be posted for the</w:t>
      </w:r>
      <w:r w:rsidR="00327465" w:rsidRPr="007A1D9C">
        <w:rPr>
          <w:color w:val="auto"/>
          <w:sz w:val="24"/>
          <w:szCs w:val="24"/>
          <w:highlight w:val="yellow"/>
        </w:rPr>
        <w:t xml:space="preserve"> MS in Urban Planning and Community Development </w:t>
      </w:r>
      <w:r w:rsidRPr="007A1D9C">
        <w:rPr>
          <w:color w:val="auto"/>
          <w:sz w:val="24"/>
          <w:szCs w:val="24"/>
          <w:highlight w:val="yellow"/>
        </w:rPr>
        <w:t>program.</w:t>
      </w:r>
    </w:p>
    <w:p w14:paraId="40FB7858" w14:textId="765E8062" w:rsidR="00280BF4" w:rsidRPr="00C85C75" w:rsidRDefault="00280BF4" w:rsidP="00280BF4"/>
    <w:p w14:paraId="22701C53" w14:textId="25C5F1BA" w:rsidR="004A72CE" w:rsidRPr="00C85C75" w:rsidRDefault="004A72CE" w:rsidP="00B034A8">
      <w:pPr>
        <w:spacing w:after="0"/>
        <w:rPr>
          <w:b/>
          <w:bCs/>
          <w:sz w:val="24"/>
          <w:szCs w:val="24"/>
        </w:rPr>
      </w:pPr>
      <w:r w:rsidRPr="00C85C75">
        <w:rPr>
          <w:b/>
          <w:bCs/>
          <w:sz w:val="24"/>
          <w:szCs w:val="24"/>
        </w:rPr>
        <w:t>Student Achievement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4A72CE" w:rsidRPr="00C85C75" w14:paraId="1CACE1C1" w14:textId="77777777" w:rsidTr="00B034A8">
        <w:tc>
          <w:tcPr>
            <w:tcW w:w="10795" w:type="dxa"/>
          </w:tcPr>
          <w:p w14:paraId="4D449A6F" w14:textId="1BD25DC7" w:rsidR="00D54045" w:rsidRPr="00D54045" w:rsidRDefault="00B13721" w:rsidP="00D5404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90% of graduates </w:t>
            </w:r>
            <w:r w:rsidR="00410C79">
              <w:rPr>
                <w:i/>
                <w:iCs/>
              </w:rPr>
              <w:t xml:space="preserve">in the MS in Urban Planning and Community Development </w:t>
            </w:r>
            <w:r>
              <w:rPr>
                <w:i/>
                <w:iCs/>
              </w:rPr>
              <w:t xml:space="preserve">secure </w:t>
            </w:r>
            <w:r w:rsidR="00CC1A52">
              <w:rPr>
                <w:i/>
                <w:iCs/>
              </w:rPr>
              <w:t>planning-related jobs within 12 months</w:t>
            </w:r>
            <w:r>
              <w:rPr>
                <w:i/>
                <w:iCs/>
              </w:rPr>
              <w:t xml:space="preserve"> </w:t>
            </w:r>
            <w:r w:rsidR="00121F67">
              <w:rPr>
                <w:i/>
                <w:iCs/>
              </w:rPr>
              <w:t>of</w:t>
            </w:r>
            <w:r>
              <w:rPr>
                <w:i/>
                <w:iCs/>
              </w:rPr>
              <w:t xml:space="preserve"> graduation. </w:t>
            </w:r>
            <w:r w:rsidR="009D715D">
              <w:rPr>
                <w:i/>
                <w:iCs/>
              </w:rPr>
              <w:t>Among those</w:t>
            </w:r>
            <w:r w:rsidR="00027AD1">
              <w:rPr>
                <w:i/>
                <w:iCs/>
              </w:rPr>
              <w:t>,</w:t>
            </w:r>
            <w:r w:rsidR="009D715D">
              <w:rPr>
                <w:i/>
                <w:iCs/>
              </w:rPr>
              <w:t xml:space="preserve"> 50% secure</w:t>
            </w:r>
            <w:r w:rsidR="00027AD1">
              <w:rPr>
                <w:i/>
                <w:iCs/>
              </w:rPr>
              <w:t xml:space="preserve"> </w:t>
            </w:r>
            <w:r w:rsidR="00600339">
              <w:rPr>
                <w:i/>
                <w:iCs/>
              </w:rPr>
              <w:t xml:space="preserve">jobs in planning agencies in </w:t>
            </w:r>
            <w:r w:rsidR="008331B0">
              <w:rPr>
                <w:i/>
                <w:iCs/>
              </w:rPr>
              <w:t>Metro Boston or Massachusetts public institutions</w:t>
            </w:r>
            <w:r w:rsidR="00196A81">
              <w:rPr>
                <w:i/>
                <w:iCs/>
              </w:rPr>
              <w:t xml:space="preserve">. </w:t>
            </w:r>
            <w:r w:rsidR="00F75C3F">
              <w:rPr>
                <w:i/>
                <w:iCs/>
              </w:rPr>
              <w:t>This</w:t>
            </w:r>
            <w:r w:rsidR="00CC1A52">
              <w:rPr>
                <w:i/>
                <w:iCs/>
              </w:rPr>
              <w:t xml:space="preserve"> percentage reflects the </w:t>
            </w:r>
            <w:r w:rsidR="00F75C3F">
              <w:rPr>
                <w:i/>
                <w:iCs/>
              </w:rPr>
              <w:t>UPCD</w:t>
            </w:r>
            <w:r w:rsidR="00F54303">
              <w:rPr>
                <w:i/>
                <w:iCs/>
              </w:rPr>
              <w:t xml:space="preserve"> Department</w:t>
            </w:r>
            <w:r w:rsidR="00F75C3F">
              <w:rPr>
                <w:i/>
                <w:iCs/>
              </w:rPr>
              <w:t xml:space="preserve">'s commitment to advancing income and racial diversity in our public planning agencies by considering UMB's mission to contribute to the thriving </w:t>
            </w:r>
            <w:r w:rsidR="00D54045" w:rsidRPr="00D54045">
              <w:rPr>
                <w:i/>
                <w:iCs/>
              </w:rPr>
              <w:t>Boston planning community</w:t>
            </w:r>
            <w:r w:rsidR="00891270">
              <w:rPr>
                <w:i/>
                <w:iCs/>
              </w:rPr>
              <w:t xml:space="preserve">. The other 50% </w:t>
            </w:r>
            <w:r w:rsidR="00CC1A52">
              <w:rPr>
                <w:i/>
                <w:iCs/>
              </w:rPr>
              <w:t xml:space="preserve">of </w:t>
            </w:r>
            <w:r w:rsidR="006D45C2">
              <w:rPr>
                <w:i/>
                <w:iCs/>
              </w:rPr>
              <w:t>graduate</w:t>
            </w:r>
            <w:r w:rsidR="00F75C3F">
              <w:rPr>
                <w:i/>
                <w:iCs/>
              </w:rPr>
              <w:t>s</w:t>
            </w:r>
            <w:r w:rsidR="00DD2DB9">
              <w:rPr>
                <w:i/>
                <w:iCs/>
              </w:rPr>
              <w:t xml:space="preserve"> </w:t>
            </w:r>
            <w:r w:rsidR="00DD2DB9">
              <w:rPr>
                <w:i/>
                <w:iCs/>
              </w:rPr>
              <w:t xml:space="preserve">in the MS in Urban Planning and Community Development </w:t>
            </w:r>
            <w:r w:rsidR="00F448DC">
              <w:rPr>
                <w:i/>
                <w:iCs/>
              </w:rPr>
              <w:t>secure jobs in community-based organizations in Metro Boston and beyond. Likewise, this percentage ref</w:t>
            </w:r>
            <w:r w:rsidR="00D54045" w:rsidRPr="00D54045">
              <w:rPr>
                <w:i/>
                <w:iCs/>
              </w:rPr>
              <w:t>lects our commitment to advocacy</w:t>
            </w:r>
            <w:r w:rsidR="00AD2E63">
              <w:rPr>
                <w:i/>
                <w:iCs/>
              </w:rPr>
              <w:t xml:space="preserve"> and </w:t>
            </w:r>
            <w:r w:rsidR="00D54045" w:rsidRPr="00D54045">
              <w:rPr>
                <w:i/>
                <w:iCs/>
              </w:rPr>
              <w:t xml:space="preserve">equity planning by enhancing the planning capacity of </w:t>
            </w:r>
            <w:r w:rsidR="00AD2E63">
              <w:rPr>
                <w:i/>
                <w:iCs/>
              </w:rPr>
              <w:t xml:space="preserve">local </w:t>
            </w:r>
            <w:r w:rsidR="00D54045" w:rsidRPr="00D54045">
              <w:rPr>
                <w:i/>
                <w:iCs/>
              </w:rPr>
              <w:t>CBDOs.</w:t>
            </w:r>
          </w:p>
          <w:p w14:paraId="334FEFBD" w14:textId="3FCF418F" w:rsidR="00D54045" w:rsidRPr="001116C3" w:rsidRDefault="00D54045" w:rsidP="001116C3">
            <w:pPr>
              <w:rPr>
                <w:color w:val="FF0000"/>
              </w:rPr>
            </w:pPr>
          </w:p>
        </w:tc>
      </w:tr>
    </w:tbl>
    <w:p w14:paraId="35D73B05" w14:textId="66A1FE6D" w:rsidR="004A72CE" w:rsidRPr="00C85C75" w:rsidRDefault="004A72CE" w:rsidP="00046212">
      <w:pPr>
        <w:spacing w:after="0"/>
      </w:pPr>
    </w:p>
    <w:p w14:paraId="6FAA786E" w14:textId="5A542E83" w:rsidR="004A72CE" w:rsidRPr="00C85C75" w:rsidRDefault="004A72CE" w:rsidP="00B034A8">
      <w:pPr>
        <w:spacing w:after="0"/>
        <w:rPr>
          <w:b/>
          <w:bCs/>
          <w:sz w:val="24"/>
          <w:szCs w:val="24"/>
        </w:rPr>
      </w:pPr>
      <w:r w:rsidRPr="00D76F36">
        <w:rPr>
          <w:b/>
          <w:bCs/>
          <w:sz w:val="24"/>
          <w:szCs w:val="24"/>
        </w:rPr>
        <w:t>20</w:t>
      </w:r>
      <w:r w:rsidR="00B41E21" w:rsidRPr="00D76F36">
        <w:rPr>
          <w:b/>
          <w:bCs/>
          <w:sz w:val="24"/>
          <w:szCs w:val="24"/>
        </w:rPr>
        <w:t>2</w:t>
      </w:r>
      <w:r w:rsidR="000C380D" w:rsidRPr="00D76F36">
        <w:rPr>
          <w:b/>
          <w:bCs/>
          <w:sz w:val="24"/>
          <w:szCs w:val="24"/>
        </w:rPr>
        <w:t>4</w:t>
      </w:r>
      <w:r w:rsidRPr="00D76F36">
        <w:rPr>
          <w:b/>
          <w:bCs/>
          <w:sz w:val="24"/>
          <w:szCs w:val="24"/>
        </w:rPr>
        <w:t>-202</w:t>
      </w:r>
      <w:r w:rsidR="000C380D" w:rsidRPr="00D76F36">
        <w:rPr>
          <w:b/>
          <w:bCs/>
          <w:sz w:val="24"/>
          <w:szCs w:val="24"/>
        </w:rPr>
        <w:t>5</w:t>
      </w:r>
      <w:r w:rsidRPr="00D76F36">
        <w:rPr>
          <w:b/>
          <w:bCs/>
          <w:sz w:val="24"/>
          <w:szCs w:val="24"/>
        </w:rPr>
        <w:t xml:space="preserve"> Tuition and Fees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45"/>
        <w:gridCol w:w="1350"/>
      </w:tblGrid>
      <w:tr w:rsidR="004A72CE" w:rsidRPr="00C85C75" w14:paraId="45571F23" w14:textId="77777777" w:rsidTr="00B034A8">
        <w:tc>
          <w:tcPr>
            <w:tcW w:w="9445" w:type="dxa"/>
          </w:tcPr>
          <w:p w14:paraId="0C997C90" w14:textId="4CC093AD" w:rsidR="004A72CE" w:rsidRPr="00C85C75" w:rsidRDefault="004A72CE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In State Residents, per full-time academic year</w:t>
            </w:r>
          </w:p>
        </w:tc>
        <w:tc>
          <w:tcPr>
            <w:tcW w:w="1350" w:type="dxa"/>
          </w:tcPr>
          <w:p w14:paraId="774C4DF1" w14:textId="5F35AD0A" w:rsidR="004A72CE" w:rsidRPr="00C85C75" w:rsidRDefault="004A72CE" w:rsidP="00F70439">
            <w:pPr>
              <w:jc w:val="center"/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$</w:t>
            </w:r>
            <w:r w:rsidR="005F1212">
              <w:rPr>
                <w:sz w:val="24"/>
                <w:szCs w:val="24"/>
              </w:rPr>
              <w:t>7954</w:t>
            </w:r>
          </w:p>
        </w:tc>
      </w:tr>
      <w:tr w:rsidR="004A72CE" w:rsidRPr="00C85C75" w14:paraId="6DA0043C" w14:textId="77777777" w:rsidTr="00B034A8">
        <w:tc>
          <w:tcPr>
            <w:tcW w:w="9445" w:type="dxa"/>
          </w:tcPr>
          <w:p w14:paraId="3A52515D" w14:textId="5156C1B3" w:rsidR="004A72CE" w:rsidRPr="00C85C75" w:rsidRDefault="004A72CE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Out of State Residents, per full-time academic year</w:t>
            </w:r>
          </w:p>
        </w:tc>
        <w:tc>
          <w:tcPr>
            <w:tcW w:w="1350" w:type="dxa"/>
          </w:tcPr>
          <w:p w14:paraId="030839DA" w14:textId="1F00A759" w:rsidR="004A72CE" w:rsidRPr="00C85C75" w:rsidRDefault="004A72CE" w:rsidP="00F70439">
            <w:pPr>
              <w:jc w:val="center"/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$</w:t>
            </w:r>
            <w:r w:rsidR="005F1212">
              <w:rPr>
                <w:sz w:val="24"/>
                <w:szCs w:val="24"/>
              </w:rPr>
              <w:t>19,062</w:t>
            </w:r>
          </w:p>
        </w:tc>
      </w:tr>
    </w:tbl>
    <w:p w14:paraId="3BFCA169" w14:textId="4B6CFD91" w:rsidR="004A72CE" w:rsidRPr="00C85C75" w:rsidRDefault="004A72CE" w:rsidP="00046212">
      <w:pPr>
        <w:spacing w:after="0"/>
      </w:pPr>
    </w:p>
    <w:p w14:paraId="2F487E31" w14:textId="379CC660" w:rsidR="00B034A8" w:rsidRPr="00C85C75" w:rsidRDefault="00B034A8" w:rsidP="00B034A8">
      <w:pPr>
        <w:spacing w:after="0"/>
        <w:rPr>
          <w:b/>
          <w:bCs/>
          <w:sz w:val="24"/>
          <w:szCs w:val="24"/>
        </w:rPr>
      </w:pPr>
      <w:r w:rsidRPr="00D76F36">
        <w:rPr>
          <w:b/>
          <w:bCs/>
          <w:sz w:val="24"/>
          <w:szCs w:val="24"/>
        </w:rPr>
        <w:t>Student Retention Rate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445"/>
        <w:gridCol w:w="1350"/>
      </w:tblGrid>
      <w:tr w:rsidR="00B034A8" w:rsidRPr="00C85C75" w14:paraId="0FDEEC6C" w14:textId="77777777" w:rsidTr="00B034A8">
        <w:tc>
          <w:tcPr>
            <w:tcW w:w="9445" w:type="dxa"/>
          </w:tcPr>
          <w:p w14:paraId="4C8AFB7A" w14:textId="16AE536A" w:rsidR="00B034A8" w:rsidRPr="00C85C75" w:rsidRDefault="00B034A8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Percentage of students who began studies in fall 20</w:t>
            </w:r>
            <w:r w:rsidR="00CC2891">
              <w:rPr>
                <w:sz w:val="24"/>
                <w:szCs w:val="24"/>
              </w:rPr>
              <w:t>2</w:t>
            </w:r>
            <w:r w:rsidR="000C380D">
              <w:rPr>
                <w:sz w:val="24"/>
                <w:szCs w:val="24"/>
              </w:rPr>
              <w:t>3</w:t>
            </w:r>
            <w:r w:rsidRPr="00C85C75">
              <w:rPr>
                <w:sz w:val="24"/>
                <w:szCs w:val="24"/>
              </w:rPr>
              <w:t xml:space="preserve"> and continued into fall 20</w:t>
            </w:r>
            <w:r w:rsidR="00B41E21">
              <w:rPr>
                <w:sz w:val="24"/>
                <w:szCs w:val="24"/>
              </w:rPr>
              <w:t>2</w:t>
            </w:r>
            <w:r w:rsidR="000C380D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0ADE5E93" w14:textId="060B5742" w:rsidR="00B034A8" w:rsidRPr="00C85C75" w:rsidRDefault="000E0549" w:rsidP="00F7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034A8" w:rsidRPr="00C85C75">
              <w:rPr>
                <w:sz w:val="24"/>
                <w:szCs w:val="24"/>
              </w:rPr>
              <w:t>%</w:t>
            </w:r>
          </w:p>
        </w:tc>
      </w:tr>
    </w:tbl>
    <w:p w14:paraId="14732339" w14:textId="098E1060" w:rsidR="00B034A8" w:rsidRPr="00C85C75" w:rsidRDefault="00B034A8" w:rsidP="00046212">
      <w:pPr>
        <w:spacing w:after="0"/>
        <w:rPr>
          <w:sz w:val="24"/>
          <w:szCs w:val="24"/>
        </w:rPr>
      </w:pPr>
    </w:p>
    <w:p w14:paraId="2A16FB55" w14:textId="2B846E73" w:rsidR="00B034A8" w:rsidRPr="00C85C75" w:rsidRDefault="00B034A8" w:rsidP="00B034A8">
      <w:pPr>
        <w:spacing w:after="0" w:line="240" w:lineRule="auto"/>
        <w:rPr>
          <w:b/>
          <w:bCs/>
          <w:sz w:val="24"/>
          <w:szCs w:val="24"/>
        </w:rPr>
      </w:pPr>
      <w:r w:rsidRPr="00D76F36">
        <w:rPr>
          <w:b/>
          <w:bCs/>
          <w:sz w:val="24"/>
          <w:szCs w:val="24"/>
        </w:rPr>
        <w:t>Student Graduation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345"/>
      </w:tblGrid>
      <w:tr w:rsidR="00B034A8" w:rsidRPr="00C85C75" w14:paraId="77536A58" w14:textId="77777777" w:rsidTr="00CB3E1A">
        <w:tc>
          <w:tcPr>
            <w:tcW w:w="9445" w:type="dxa"/>
          </w:tcPr>
          <w:p w14:paraId="4EB3F282" w14:textId="21244AFA" w:rsidR="00B034A8" w:rsidRPr="00C85C75" w:rsidRDefault="00B034A8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Percentage of students graduating within 4 years, entering class of 20</w:t>
            </w:r>
            <w:r w:rsidR="000C380D">
              <w:rPr>
                <w:sz w:val="24"/>
                <w:szCs w:val="24"/>
              </w:rPr>
              <w:t>20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86B4C1A" w14:textId="1DC28E78" w:rsidR="00B034A8" w:rsidRPr="00C85C75" w:rsidRDefault="000E0549" w:rsidP="00F7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034A8" w:rsidRPr="00C85C75">
              <w:rPr>
                <w:sz w:val="24"/>
                <w:szCs w:val="24"/>
              </w:rPr>
              <w:t>%</w:t>
            </w:r>
          </w:p>
        </w:tc>
      </w:tr>
      <w:tr w:rsidR="00B034A8" w:rsidRPr="00C85C75" w14:paraId="0A37E4A8" w14:textId="77777777" w:rsidTr="00CB3E1A">
        <w:tc>
          <w:tcPr>
            <w:tcW w:w="9445" w:type="dxa"/>
          </w:tcPr>
          <w:p w14:paraId="56239732" w14:textId="76BE797B" w:rsidR="00B034A8" w:rsidRPr="00C85C75" w:rsidRDefault="00B034A8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Percentage of students graduating within 6 years, entering class of 201</w:t>
            </w:r>
            <w:r w:rsidR="000C380D">
              <w:rPr>
                <w:sz w:val="24"/>
                <w:szCs w:val="24"/>
              </w:rPr>
              <w:t>8</w:t>
            </w:r>
            <w:r w:rsidRPr="00C85C75">
              <w:rPr>
                <w:sz w:val="24"/>
                <w:szCs w:val="24"/>
              </w:rPr>
              <w:t xml:space="preserve"> (for accredited undergrad)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2E6C424A" w14:textId="51A58B92" w:rsidR="00B034A8" w:rsidRPr="00C85C75" w:rsidRDefault="005F1212" w:rsidP="00F7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034A8" w:rsidRPr="00C85C75">
              <w:rPr>
                <w:sz w:val="24"/>
                <w:szCs w:val="24"/>
              </w:rPr>
              <w:t>%</w:t>
            </w:r>
          </w:p>
        </w:tc>
      </w:tr>
    </w:tbl>
    <w:p w14:paraId="128DF704" w14:textId="01CFE848" w:rsidR="00B034A8" w:rsidRPr="00C85C75" w:rsidRDefault="00B034A8" w:rsidP="00046212">
      <w:pPr>
        <w:spacing w:after="0"/>
        <w:rPr>
          <w:sz w:val="24"/>
          <w:szCs w:val="24"/>
        </w:rPr>
      </w:pPr>
    </w:p>
    <w:p w14:paraId="200EC9FB" w14:textId="3D4F6C95" w:rsidR="00F70439" w:rsidRPr="00C85C75" w:rsidRDefault="00F70439" w:rsidP="00F70439">
      <w:pPr>
        <w:spacing w:after="0"/>
        <w:rPr>
          <w:b/>
          <w:bCs/>
          <w:sz w:val="24"/>
          <w:szCs w:val="24"/>
        </w:rPr>
      </w:pPr>
      <w:r w:rsidRPr="00D76F36">
        <w:rPr>
          <w:b/>
          <w:bCs/>
          <w:sz w:val="24"/>
          <w:szCs w:val="24"/>
        </w:rPr>
        <w:t>Number of Degrees Awarded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345"/>
      </w:tblGrid>
      <w:tr w:rsidR="00F70439" w:rsidRPr="00C85C75" w14:paraId="7F46CB7F" w14:textId="77777777" w:rsidTr="00F70439">
        <w:tc>
          <w:tcPr>
            <w:tcW w:w="9445" w:type="dxa"/>
          </w:tcPr>
          <w:p w14:paraId="24D07EED" w14:textId="0FF6A80B" w:rsidR="00F70439" w:rsidRPr="00C85C75" w:rsidRDefault="00F70439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>Number of degrees awarded for 20</w:t>
            </w:r>
            <w:r w:rsidR="00CC2891">
              <w:rPr>
                <w:sz w:val="24"/>
                <w:szCs w:val="24"/>
              </w:rPr>
              <w:t>2</w:t>
            </w:r>
            <w:r w:rsidR="000C380D">
              <w:rPr>
                <w:sz w:val="24"/>
                <w:szCs w:val="24"/>
              </w:rPr>
              <w:t>3</w:t>
            </w:r>
            <w:r w:rsidRPr="00C85C75">
              <w:rPr>
                <w:sz w:val="24"/>
                <w:szCs w:val="24"/>
              </w:rPr>
              <w:t>-20</w:t>
            </w:r>
            <w:r w:rsidR="00B41E21">
              <w:rPr>
                <w:sz w:val="24"/>
                <w:szCs w:val="24"/>
              </w:rPr>
              <w:t>2</w:t>
            </w:r>
            <w:r w:rsidR="000C380D">
              <w:rPr>
                <w:sz w:val="24"/>
                <w:szCs w:val="24"/>
              </w:rPr>
              <w:t>4</w:t>
            </w:r>
            <w:r w:rsidR="00CC2891">
              <w:rPr>
                <w:sz w:val="24"/>
                <w:szCs w:val="24"/>
              </w:rPr>
              <w:t xml:space="preserve"> </w:t>
            </w:r>
            <w:r w:rsidRPr="00C85C75">
              <w:rPr>
                <w:sz w:val="24"/>
                <w:szCs w:val="24"/>
              </w:rPr>
              <w:t>Academic Year</w:t>
            </w:r>
          </w:p>
        </w:tc>
        <w:tc>
          <w:tcPr>
            <w:tcW w:w="1345" w:type="dxa"/>
          </w:tcPr>
          <w:p w14:paraId="6DA21D31" w14:textId="77650F1A" w:rsidR="00F70439" w:rsidRPr="00C85C75" w:rsidRDefault="005F1212" w:rsidP="00F7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2B057090" w14:textId="1B173D93" w:rsidR="00F70439" w:rsidRPr="00C85C75" w:rsidRDefault="00F70439" w:rsidP="00046212">
      <w:pPr>
        <w:spacing w:after="0"/>
        <w:rPr>
          <w:sz w:val="24"/>
          <w:szCs w:val="24"/>
        </w:rPr>
      </w:pPr>
    </w:p>
    <w:p w14:paraId="65A1E513" w14:textId="5786A6F5" w:rsidR="00F70439" w:rsidRPr="00C85C75" w:rsidRDefault="00F70439" w:rsidP="00F70439">
      <w:pPr>
        <w:spacing w:after="0"/>
        <w:rPr>
          <w:b/>
          <w:bCs/>
          <w:sz w:val="24"/>
          <w:szCs w:val="24"/>
        </w:rPr>
      </w:pPr>
      <w:r w:rsidRPr="00C85C75">
        <w:rPr>
          <w:b/>
          <w:bCs/>
          <w:sz w:val="24"/>
          <w:szCs w:val="24"/>
        </w:rPr>
        <w:t xml:space="preserve">AICP </w:t>
      </w:r>
      <w:r w:rsidR="00405B5B">
        <w:rPr>
          <w:b/>
          <w:bCs/>
          <w:sz w:val="24"/>
          <w:szCs w:val="24"/>
        </w:rPr>
        <w:t>Pass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345"/>
      </w:tblGrid>
      <w:tr w:rsidR="00F70439" w:rsidRPr="00C85C75" w14:paraId="69D73A49" w14:textId="77777777" w:rsidTr="00F70439">
        <w:tc>
          <w:tcPr>
            <w:tcW w:w="9445" w:type="dxa"/>
          </w:tcPr>
          <w:p w14:paraId="0DD7A929" w14:textId="737A7D9D" w:rsidR="00F70439" w:rsidRPr="00C85C75" w:rsidRDefault="00F70439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 xml:space="preserve">Percentage of master’s graduates taking the AICP exam within </w:t>
            </w:r>
            <w:r w:rsidR="0001019F">
              <w:rPr>
                <w:sz w:val="24"/>
                <w:szCs w:val="24"/>
              </w:rPr>
              <w:t>3</w:t>
            </w:r>
            <w:r w:rsidRPr="00C85C75">
              <w:rPr>
                <w:sz w:val="24"/>
                <w:szCs w:val="24"/>
              </w:rPr>
              <w:t xml:space="preserve"> years who pass, graduating class of 20</w:t>
            </w:r>
            <w:r w:rsidR="000C380D">
              <w:rPr>
                <w:sz w:val="24"/>
                <w:szCs w:val="24"/>
              </w:rPr>
              <w:t>20</w:t>
            </w:r>
          </w:p>
        </w:tc>
        <w:tc>
          <w:tcPr>
            <w:tcW w:w="1345" w:type="dxa"/>
          </w:tcPr>
          <w:p w14:paraId="25813B93" w14:textId="200D0E1B" w:rsidR="00F70439" w:rsidRPr="00C85C75" w:rsidRDefault="00DE6257" w:rsidP="00F7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70439" w:rsidRPr="00C85C75">
              <w:rPr>
                <w:sz w:val="24"/>
                <w:szCs w:val="24"/>
              </w:rPr>
              <w:t>%</w:t>
            </w:r>
          </w:p>
        </w:tc>
      </w:tr>
      <w:tr w:rsidR="00F70439" w:rsidRPr="00C85C75" w14:paraId="62D47166" w14:textId="77777777" w:rsidTr="00F70439">
        <w:tc>
          <w:tcPr>
            <w:tcW w:w="9445" w:type="dxa"/>
          </w:tcPr>
          <w:p w14:paraId="00E3F218" w14:textId="40EE197E" w:rsidR="00F70439" w:rsidRPr="00C85C75" w:rsidRDefault="00F70439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 xml:space="preserve">Percentage of bachelor’s graduates taking the AICP exam within </w:t>
            </w:r>
            <w:r w:rsidR="0001019F">
              <w:rPr>
                <w:sz w:val="24"/>
                <w:szCs w:val="24"/>
              </w:rPr>
              <w:t>5</w:t>
            </w:r>
            <w:r w:rsidRPr="00C85C75">
              <w:rPr>
                <w:sz w:val="24"/>
                <w:szCs w:val="24"/>
              </w:rPr>
              <w:t xml:space="preserve"> years who passed, graduating class of 201</w:t>
            </w:r>
            <w:r w:rsidR="000C380D">
              <w:rPr>
                <w:sz w:val="24"/>
                <w:szCs w:val="24"/>
              </w:rPr>
              <w:t>8</w:t>
            </w:r>
            <w:r w:rsidRPr="00C85C75">
              <w:rPr>
                <w:sz w:val="24"/>
                <w:szCs w:val="24"/>
              </w:rPr>
              <w:t xml:space="preserve"> (for accredited undergrad)</w:t>
            </w:r>
          </w:p>
        </w:tc>
        <w:tc>
          <w:tcPr>
            <w:tcW w:w="1345" w:type="dxa"/>
          </w:tcPr>
          <w:p w14:paraId="43CB2197" w14:textId="2841A156" w:rsidR="00F70439" w:rsidRPr="00C85C75" w:rsidRDefault="00A86E56" w:rsidP="00F7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2845FDFC" w14:textId="0FD0CDA9" w:rsidR="00F70439" w:rsidRPr="00C85C75" w:rsidRDefault="00F70439" w:rsidP="00046212">
      <w:pPr>
        <w:spacing w:after="0"/>
        <w:rPr>
          <w:sz w:val="24"/>
          <w:szCs w:val="24"/>
        </w:rPr>
      </w:pPr>
    </w:p>
    <w:p w14:paraId="586E7C6C" w14:textId="2630CEFD" w:rsidR="00F70439" w:rsidRPr="00C85C75" w:rsidRDefault="00F70439" w:rsidP="00F70439">
      <w:pPr>
        <w:spacing w:after="0"/>
        <w:rPr>
          <w:b/>
          <w:bCs/>
          <w:sz w:val="24"/>
          <w:szCs w:val="24"/>
        </w:rPr>
      </w:pPr>
      <w:r w:rsidRPr="00C85C75">
        <w:rPr>
          <w:b/>
          <w:bCs/>
          <w:sz w:val="24"/>
          <w:szCs w:val="24"/>
        </w:rPr>
        <w:t>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5"/>
        <w:gridCol w:w="1345"/>
      </w:tblGrid>
      <w:tr w:rsidR="00F70439" w14:paraId="2F330376" w14:textId="77777777" w:rsidTr="00F70439">
        <w:tc>
          <w:tcPr>
            <w:tcW w:w="9445" w:type="dxa"/>
          </w:tcPr>
          <w:p w14:paraId="6A189B20" w14:textId="15021227" w:rsidR="00F70439" w:rsidRPr="00C85C75" w:rsidRDefault="00F70439" w:rsidP="00280BF4">
            <w:pPr>
              <w:rPr>
                <w:sz w:val="24"/>
                <w:szCs w:val="24"/>
              </w:rPr>
            </w:pPr>
            <w:r w:rsidRPr="00C85C75">
              <w:rPr>
                <w:sz w:val="24"/>
                <w:szCs w:val="24"/>
              </w:rPr>
              <w:t xml:space="preserve">Percentage of </w:t>
            </w:r>
            <w:r w:rsidR="00D14326">
              <w:rPr>
                <w:sz w:val="24"/>
                <w:szCs w:val="24"/>
              </w:rPr>
              <w:t xml:space="preserve">all </w:t>
            </w:r>
            <w:r w:rsidRPr="00C85C75">
              <w:rPr>
                <w:sz w:val="24"/>
                <w:szCs w:val="24"/>
              </w:rPr>
              <w:t>graduates obtaining professional planning, planning-related, or other positions within 12 months of graduation, graduating class of 20</w:t>
            </w:r>
            <w:r w:rsidR="00CC2891">
              <w:rPr>
                <w:sz w:val="24"/>
                <w:szCs w:val="24"/>
              </w:rPr>
              <w:t>2</w:t>
            </w:r>
            <w:r w:rsidR="000C380D">
              <w:rPr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14:paraId="4D040B51" w14:textId="65E59B9C" w:rsidR="00F70439" w:rsidRDefault="00FF521E" w:rsidP="00F7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F70439" w:rsidRPr="00C85C75">
              <w:rPr>
                <w:sz w:val="24"/>
                <w:szCs w:val="24"/>
              </w:rPr>
              <w:t>%</w:t>
            </w:r>
          </w:p>
        </w:tc>
      </w:tr>
    </w:tbl>
    <w:p w14:paraId="39818B37" w14:textId="77777777" w:rsidR="00F70439" w:rsidRDefault="00F70439" w:rsidP="00280BF4">
      <w:pPr>
        <w:rPr>
          <w:sz w:val="24"/>
          <w:szCs w:val="24"/>
        </w:rPr>
      </w:pPr>
    </w:p>
    <w:sectPr w:rsidR="00F70439" w:rsidSect="00B034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F4"/>
    <w:rsid w:val="0001019F"/>
    <w:rsid w:val="00027AD1"/>
    <w:rsid w:val="00046212"/>
    <w:rsid w:val="00095E1F"/>
    <w:rsid w:val="000C380D"/>
    <w:rsid w:val="000E0549"/>
    <w:rsid w:val="001116C3"/>
    <w:rsid w:val="001178BF"/>
    <w:rsid w:val="00121F67"/>
    <w:rsid w:val="00126CA2"/>
    <w:rsid w:val="00195080"/>
    <w:rsid w:val="00196A81"/>
    <w:rsid w:val="001B294B"/>
    <w:rsid w:val="002102EA"/>
    <w:rsid w:val="0024661C"/>
    <w:rsid w:val="002773EF"/>
    <w:rsid w:val="00280BF4"/>
    <w:rsid w:val="00327465"/>
    <w:rsid w:val="00350526"/>
    <w:rsid w:val="003D7796"/>
    <w:rsid w:val="003E183D"/>
    <w:rsid w:val="00405B5B"/>
    <w:rsid w:val="00410C79"/>
    <w:rsid w:val="00416D1D"/>
    <w:rsid w:val="00422562"/>
    <w:rsid w:val="00465E54"/>
    <w:rsid w:val="004A72CE"/>
    <w:rsid w:val="004B39C1"/>
    <w:rsid w:val="00502963"/>
    <w:rsid w:val="005E2AA8"/>
    <w:rsid w:val="005F1212"/>
    <w:rsid w:val="00600339"/>
    <w:rsid w:val="00602A4E"/>
    <w:rsid w:val="006D45C2"/>
    <w:rsid w:val="006D52B3"/>
    <w:rsid w:val="007418A5"/>
    <w:rsid w:val="007A1D9C"/>
    <w:rsid w:val="00813269"/>
    <w:rsid w:val="008147D2"/>
    <w:rsid w:val="008331B0"/>
    <w:rsid w:val="00865991"/>
    <w:rsid w:val="00891270"/>
    <w:rsid w:val="008C7729"/>
    <w:rsid w:val="00914798"/>
    <w:rsid w:val="009D715D"/>
    <w:rsid w:val="00A31966"/>
    <w:rsid w:val="00A86E56"/>
    <w:rsid w:val="00AC721D"/>
    <w:rsid w:val="00AD2E63"/>
    <w:rsid w:val="00B034A8"/>
    <w:rsid w:val="00B13721"/>
    <w:rsid w:val="00B41E21"/>
    <w:rsid w:val="00B42BDF"/>
    <w:rsid w:val="00C85C75"/>
    <w:rsid w:val="00CB3E1A"/>
    <w:rsid w:val="00CC1A52"/>
    <w:rsid w:val="00CC2891"/>
    <w:rsid w:val="00CD4BED"/>
    <w:rsid w:val="00D14326"/>
    <w:rsid w:val="00D17BC8"/>
    <w:rsid w:val="00D54045"/>
    <w:rsid w:val="00D76F36"/>
    <w:rsid w:val="00D9343B"/>
    <w:rsid w:val="00DB55F7"/>
    <w:rsid w:val="00DD2DB9"/>
    <w:rsid w:val="00DE6257"/>
    <w:rsid w:val="00E22715"/>
    <w:rsid w:val="00E24776"/>
    <w:rsid w:val="00F448DC"/>
    <w:rsid w:val="00F54303"/>
    <w:rsid w:val="00F6777A"/>
    <w:rsid w:val="00F70439"/>
    <w:rsid w:val="00F75C3F"/>
    <w:rsid w:val="00FE16E6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FC46A"/>
  <w15:chartTrackingRefBased/>
  <w15:docId w15:val="{2901AF68-4D0A-4FF5-B4D7-492082BA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B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0B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D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8FB7-416F-480B-9B43-6E8E818F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1629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PAB1</dc:creator>
  <cp:keywords/>
  <dc:description/>
  <cp:lastModifiedBy>Antonio Raciti</cp:lastModifiedBy>
  <cp:revision>31</cp:revision>
  <dcterms:created xsi:type="dcterms:W3CDTF">2024-12-12T19:55:00Z</dcterms:created>
  <dcterms:modified xsi:type="dcterms:W3CDTF">2025-01-14T18:09:00Z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d32847ae07c61b5d51b0a2d6cc9a38e49304e52b0a8775e118e43c96a2fd1e3b</vt:lpwstr>
  </property>
</Properties>
</file>