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109" w:rsidRPr="00D65440" w:rsidRDefault="00C47109" w:rsidP="00C47109">
      <w:pPr>
        <w:pStyle w:val="Heading1"/>
      </w:pPr>
      <w:r w:rsidRPr="00D65440">
        <w:t>AMYL PROPIONATE    CAS # 624544</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I   .   .   .</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2   0      </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ROUTE OF EXPOSURE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irritating to mucous membranes and upper respiratory tract.</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Ingestion can cause gastrointestinal disorders, nausea, and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vomiting. Exposure can cause: Incoordination. Conjunctivitis.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Prolonged or repeated exposure to skin causes defatting and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dermatitis.</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STORAGE GROUP(S):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Do    not breathe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vapor. Avoid prolonged or repeated exposure. STORAGE: Keep container closed.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Keep away from heat, sparks, and open flame.</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47109" w:rsidRPr="00D65440" w:rsidRDefault="00C47109" w:rsidP="00C47109">
      <w:pPr>
        <w:pStyle w:val="Heading1"/>
      </w:pPr>
      <w:r w:rsidRPr="00D65440">
        <w:t>AMYLAMINE    CAS # 110587</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lastRenderedPageBreak/>
        <w:t>A  Special Carcinogen        E  Dermal Hazard   I  Neurotoxin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J   K   .</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3   0      </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470.0 mg/Kg</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7115.9</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ROUTE OF EXPOSURE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skin Absorption: Harmful if absorbed through skin.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the mucous membranes and upper respiratory tract. Harmful if</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inhaled.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vomiting. Inhalation may result in spasm, inflammation and edema</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of the larynxand bronchi, chemical pneumonitis, and pulmonary</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edema. Material is extremely destructive to tissue of the mucous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 </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FLASH POINT  33.8 °F</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well-ventilated area</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STORAGE GROUP(S):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INCOMPATIBILITIES:Acids, Acid chlorides, Acid anhydrides, Strong  oxidizing</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agents Carbon dioxide.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FIRE EXTINGUISHER:  For small (incipient) fires, use media such as "alcohol"</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foam, dry chemical, or carbon dioxide. For large    fires, apply water from</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as far as possible. Use very large    quantities (flooding) of water applied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as a mist or spray; solid</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away from heat, sparks, and open flame.      </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Symbol of Danger: F-C</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Indication of Danger: Highly Flammable. Corrosive.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R: 11-20/21/22-34</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Harmful by inhalation, in</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contact with skin and if swallowed. Causes burns.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 16-26-33-36/37/39-45</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smoking. In case of contact with eyes, rinse immediately with</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plenty of water and seek medical advice. Take precautionary</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measures against static discharges. Wear suitable protective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clothing, gloves, and eye/face protection. In case of accident</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or if you feel unwell, seek medical advice immediately (show the</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label where possible). </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.3 mg/m3</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.75 mg/m3</w:t>
      </w:r>
    </w:p>
    <w:p w:rsidR="00C47109" w:rsidRPr="00D65440" w:rsidRDefault="00C47109" w:rsidP="00C47109">
      <w:pPr>
        <w:pStyle w:val="PlainText"/>
        <w:rPr>
          <w:rFonts w:ascii="Courier New" w:hAnsi="Courier New" w:cs="Courier New"/>
          <w:sz w:val="20"/>
          <w:szCs w:val="20"/>
        </w:rPr>
      </w:pPr>
      <w:r w:rsidRPr="00D65440">
        <w:rPr>
          <w:rFonts w:ascii="Courier New" w:hAnsi="Courier New" w:cs="Courier New"/>
          <w:sz w:val="20"/>
          <w:szCs w:val="20"/>
        </w:rPr>
        <w:t xml:space="preserve">   DOE Ceiling Limit 6 mg/m3</w:t>
      </w:r>
    </w:p>
    <w:p w:rsidR="00C47109" w:rsidRPr="00D65440" w:rsidRDefault="00C47109" w:rsidP="00C47109">
      <w:pPr>
        <w:pStyle w:val="PlainText"/>
        <w:rPr>
          <w:rFonts w:ascii="Courier New" w:hAnsi="Courier New" w:cs="Courier New"/>
          <w:sz w:val="20"/>
          <w:szCs w:val="20"/>
        </w:rPr>
      </w:pPr>
    </w:p>
    <w:p w:rsidR="00C47109" w:rsidRPr="00D65440" w:rsidRDefault="00C47109" w:rsidP="00C4710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4710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109"/>
    <w:rsid w:val="003F40DA"/>
    <w:rsid w:val="00C4710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4710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7109"/>
    <w:rPr>
      <w:rFonts w:ascii="Courier New" w:eastAsiaTheme="majorEastAsia" w:hAnsi="Courier New" w:cstheme="majorBidi"/>
      <w:b/>
      <w:bCs/>
      <w:sz w:val="20"/>
      <w:szCs w:val="28"/>
    </w:rPr>
  </w:style>
  <w:style w:type="paragraph" w:styleId="NoSpacing">
    <w:name w:val="No Spacing"/>
    <w:autoRedefine/>
    <w:uiPriority w:val="1"/>
    <w:qFormat/>
    <w:rsid w:val="00C47109"/>
    <w:pPr>
      <w:spacing w:after="0" w:line="240" w:lineRule="auto"/>
      <w:jc w:val="both"/>
    </w:pPr>
    <w:rPr>
      <w:sz w:val="18"/>
    </w:rPr>
  </w:style>
  <w:style w:type="paragraph" w:styleId="PlainText">
    <w:name w:val="Plain Text"/>
    <w:basedOn w:val="Normal"/>
    <w:link w:val="PlainTextChar"/>
    <w:uiPriority w:val="99"/>
    <w:unhideWhenUsed/>
    <w:rsid w:val="00C471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4710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4710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7109"/>
    <w:rPr>
      <w:rFonts w:ascii="Courier New" w:eastAsiaTheme="majorEastAsia" w:hAnsi="Courier New" w:cstheme="majorBidi"/>
      <w:b/>
      <w:bCs/>
      <w:sz w:val="20"/>
      <w:szCs w:val="28"/>
    </w:rPr>
  </w:style>
  <w:style w:type="paragraph" w:styleId="NoSpacing">
    <w:name w:val="No Spacing"/>
    <w:autoRedefine/>
    <w:uiPriority w:val="1"/>
    <w:qFormat/>
    <w:rsid w:val="00C47109"/>
    <w:pPr>
      <w:spacing w:after="0" w:line="240" w:lineRule="auto"/>
      <w:jc w:val="both"/>
    </w:pPr>
    <w:rPr>
      <w:sz w:val="18"/>
    </w:rPr>
  </w:style>
  <w:style w:type="paragraph" w:styleId="PlainText">
    <w:name w:val="Plain Text"/>
    <w:basedOn w:val="Normal"/>
    <w:link w:val="PlainTextChar"/>
    <w:uiPriority w:val="99"/>
    <w:unhideWhenUsed/>
    <w:rsid w:val="00C471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4710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5147</Characters>
  <Application>Microsoft Office Word</Application>
  <DocSecurity>0</DocSecurity>
  <Lines>42</Lines>
  <Paragraphs>12</Paragraphs>
  <ScaleCrop>false</ScaleCrop>
  <Company/>
  <LinksUpToDate>false</LinksUpToDate>
  <CharactersWithSpaces>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