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7DB" w:rsidRPr="00D65440" w:rsidRDefault="003E77DB" w:rsidP="003E77DB">
      <w:pPr>
        <w:pStyle w:val="Heading1"/>
      </w:pPr>
      <w:r w:rsidRPr="00D65440">
        <w:t>AMMONIUM OXALATE MONOHYDRATE    CAS # 6009707</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ROUTE OF EXPOSURE</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Material is extremely destructive to tissue of the</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 eyes, and skin. To</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best of our knowledge, the chemical, physical, and</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STORAGE GROUP(S):</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E77DB" w:rsidRPr="00D65440" w:rsidRDefault="003E77DB" w:rsidP="003E77D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R: 21/22</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in contact with skin and if swallowed.</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S: 24/25</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and eyes. </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mg/m3</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DOE Ceiling Limit 30 mg/m3</w:t>
      </w:r>
    </w:p>
    <w:p w:rsidR="003E77DB" w:rsidRPr="00D65440" w:rsidRDefault="003E77DB" w:rsidP="003E77DB">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150 mg/m3AMMONIUM OXALATE </w:t>
      </w:r>
    </w:p>
    <w:p w:rsidR="003E77DB" w:rsidRPr="00D65440" w:rsidRDefault="003E77DB" w:rsidP="003E77DB">
      <w:pPr>
        <w:pStyle w:val="PlainText"/>
        <w:rPr>
          <w:rFonts w:ascii="Courier New" w:hAnsi="Courier New" w:cs="Courier New"/>
          <w:sz w:val="20"/>
          <w:szCs w:val="20"/>
        </w:rPr>
      </w:pPr>
    </w:p>
    <w:p w:rsidR="003E77DB" w:rsidRPr="00D65440" w:rsidRDefault="003E77DB" w:rsidP="003E77D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E77D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7DB"/>
    <w:rsid w:val="003E77D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77D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7DB"/>
    <w:rPr>
      <w:rFonts w:ascii="Courier New" w:eastAsiaTheme="majorEastAsia" w:hAnsi="Courier New" w:cstheme="majorBidi"/>
      <w:b/>
      <w:bCs/>
      <w:sz w:val="20"/>
      <w:szCs w:val="28"/>
    </w:rPr>
  </w:style>
  <w:style w:type="paragraph" w:styleId="NoSpacing">
    <w:name w:val="No Spacing"/>
    <w:autoRedefine/>
    <w:uiPriority w:val="1"/>
    <w:qFormat/>
    <w:rsid w:val="003E77DB"/>
    <w:pPr>
      <w:spacing w:after="0" w:line="240" w:lineRule="auto"/>
      <w:jc w:val="both"/>
    </w:pPr>
    <w:rPr>
      <w:sz w:val="18"/>
    </w:rPr>
  </w:style>
  <w:style w:type="paragraph" w:styleId="PlainText">
    <w:name w:val="Plain Text"/>
    <w:basedOn w:val="Normal"/>
    <w:link w:val="PlainTextChar"/>
    <w:uiPriority w:val="99"/>
    <w:unhideWhenUsed/>
    <w:rsid w:val="003E77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E77D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77D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7DB"/>
    <w:rPr>
      <w:rFonts w:ascii="Courier New" w:eastAsiaTheme="majorEastAsia" w:hAnsi="Courier New" w:cstheme="majorBidi"/>
      <w:b/>
      <w:bCs/>
      <w:sz w:val="20"/>
      <w:szCs w:val="28"/>
    </w:rPr>
  </w:style>
  <w:style w:type="paragraph" w:styleId="NoSpacing">
    <w:name w:val="No Spacing"/>
    <w:autoRedefine/>
    <w:uiPriority w:val="1"/>
    <w:qFormat/>
    <w:rsid w:val="003E77DB"/>
    <w:pPr>
      <w:spacing w:after="0" w:line="240" w:lineRule="auto"/>
      <w:jc w:val="both"/>
    </w:pPr>
    <w:rPr>
      <w:sz w:val="18"/>
    </w:rPr>
  </w:style>
  <w:style w:type="paragraph" w:styleId="PlainText">
    <w:name w:val="Plain Text"/>
    <w:basedOn w:val="Normal"/>
    <w:link w:val="PlainTextChar"/>
    <w:uiPriority w:val="99"/>
    <w:unhideWhenUsed/>
    <w:rsid w:val="003E77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E77D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